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B5" w:rsidRPr="0008073E" w:rsidRDefault="003A15B5" w:rsidP="003A15B5">
      <w:pPr>
        <w:spacing w:before="120" w:after="120" w:line="360" w:lineRule="auto"/>
        <w:jc w:val="both"/>
        <w:rPr>
          <w:rFonts w:eastAsiaTheme="majorEastAsia"/>
          <w:lang w:val="vi-VN"/>
        </w:rPr>
      </w:pPr>
      <w:r w:rsidRPr="0008073E">
        <w:rPr>
          <w:rFonts w:eastAsiaTheme="majorEastAsia"/>
          <w:b/>
          <w:sz w:val="24"/>
          <w:szCs w:val="24"/>
          <w:lang w:val="vi-VN"/>
        </w:rPr>
        <w:t>NGÔN NGỮ LAI (Creole)</w:t>
      </w:r>
      <w:r w:rsidRPr="0008073E">
        <w:rPr>
          <w:rFonts w:eastAsiaTheme="majorEastAsia"/>
          <w:lang w:val="vi-VN"/>
        </w:rPr>
        <w:t xml:space="preserve">, ngôn ngữ bắt nguồn từ một tiếng bồi (pidgin) mà các hạn chế về chức năng và ngữ pháp cũng như sự đơn giản hóa đã được loại bỏ và hiện đang hoạt động như một ngôn ngữ mẹ đẻ hoàn chỉnh, chuẩn hóa. </w:t>
      </w:r>
    </w:p>
    <w:p w:rsidR="003A15B5" w:rsidRPr="003A15B5" w:rsidRDefault="003A15B5" w:rsidP="003A15B5">
      <w:pPr>
        <w:spacing w:before="120" w:after="120" w:line="360" w:lineRule="auto"/>
        <w:ind w:firstLine="567"/>
        <w:jc w:val="both"/>
        <w:rPr>
          <w:rFonts w:eastAsiaTheme="majorEastAsia"/>
          <w:b/>
          <w:lang w:val="vi-VN"/>
        </w:rPr>
      </w:pPr>
      <w:r w:rsidRPr="003A15B5">
        <w:rPr>
          <w:rFonts w:eastAsiaTheme="majorEastAsia"/>
          <w:lang w:val="vi-VN"/>
        </w:rPr>
        <w:t>Các NNL có nguồn gốc chủ yếu ở các khu vực thuộc địa hóa, nơi người bản địa bị bắt làm nô lệ hoặc bị biến thành phụ thuộc nhiều vào chủ da trắng của họ. Áp lực xã hội của sự đồng hóa đã dẫn từ năng lực song ngữ (ngôn ngữ bản địa và ngôn ngữ châu Âu trở thành tiếng bồi) đến thế đơn ngữ và cuối cùng là mất hoàn toàn tiếng mẹ đẻ ban đầu, thay bằng một ngôn ngữ lai.</w:t>
      </w:r>
    </w:p>
    <w:p w:rsidR="003A15B5" w:rsidRPr="003A15B5" w:rsidRDefault="003A15B5" w:rsidP="003A15B5">
      <w:pPr>
        <w:spacing w:before="120" w:after="120" w:line="360" w:lineRule="auto"/>
        <w:ind w:firstLine="567"/>
        <w:jc w:val="both"/>
        <w:rPr>
          <w:rFonts w:eastAsiaTheme="majorEastAsia"/>
          <w:lang w:val="vi-VN"/>
        </w:rPr>
      </w:pPr>
      <w:r w:rsidRPr="003A15B5">
        <w:rPr>
          <w:rFonts w:eastAsiaTheme="majorEastAsia"/>
          <w:lang w:val="vi-VN"/>
        </w:rPr>
        <w:t>Như vậy, theo truyền thống, NNL là một tiếng bồi được sử dụng làm ngôn ngữ mẹ đẻ hoặc ngôn ngữ đầu tiên của một nhóm người nói. Một tiếng bồi không phải là một ngôn ngữ tự nhiên, mà chỉ là một hệ thống giao tiếp thô sơ được những người không có ngôn ngữ chung chắp ghép tạo ra. Nếu một tiếng bồi được tạo ra  trong một xã hội đa ngữ thì sẽ đến một lúc một thế hệ trẻ em được sinh ra chỉ có tiếng bồi để sử dụng với nhau. Trong trường hợp này, trẻ em chắc chắn sẽ sử dụng tiếng bồi và biến nó thành một ngôn ngữ thực sự, hoàn thiện nó với một vốn từ lớn và một hệ thống ngữ pháp phong phú. Ngôn ngữ tự nhiên mới này là một NNL và những trẻ em sáng tạo ra nó là những người nói bản ngữ đầu tiên của NNL này. Quá trình biến một tiếng bồi thành một NNL là quá trình hình thành NNL (creolization).</w:t>
      </w:r>
    </w:p>
    <w:p w:rsidR="003A15B5" w:rsidRPr="003A15B5" w:rsidRDefault="003A15B5" w:rsidP="003A15B5">
      <w:pPr>
        <w:spacing w:before="120" w:after="120" w:line="360" w:lineRule="auto"/>
        <w:ind w:firstLine="567"/>
        <w:jc w:val="both"/>
        <w:rPr>
          <w:rFonts w:eastAsiaTheme="majorEastAsia"/>
          <w:lang w:val="vi-VN"/>
        </w:rPr>
      </w:pPr>
      <w:r w:rsidRPr="003A15B5">
        <w:rPr>
          <w:rFonts w:eastAsiaTheme="majorEastAsia"/>
          <w:lang w:val="vi-VN"/>
        </w:rPr>
        <w:tab/>
        <w:t>Nhưng những nghiên cứu gần đây cho thấy định nghĩa truyền thống không hoàn toàn chính xác trong mọi tình huống. Người ta nhận thấy trong khi một số NNL phát triển từ các tiếng bồi thì một số khác lại phát triển trực tiếp từ các biệt ngữ (jargon) tiền ngôn ngữ lai. Một đặc điểm tiêu biểu khác của NNL là sự hình thành của nhiều NNL liên quan đến lặp đi lặp lại việc tiếp thu ngôn ngữ thứ hai, tức là việc tiếp thu ngôn ngữ thứ hai của những nhóm người kế tiếp.</w:t>
      </w:r>
    </w:p>
    <w:p w:rsidR="003A15B5" w:rsidRPr="003A15B5" w:rsidRDefault="003A15B5" w:rsidP="003A15B5">
      <w:pPr>
        <w:spacing w:before="120" w:after="120" w:line="360" w:lineRule="auto"/>
        <w:ind w:firstLine="567"/>
        <w:jc w:val="both"/>
        <w:rPr>
          <w:rFonts w:eastAsiaTheme="majorEastAsia"/>
          <w:lang w:val="vi-VN"/>
        </w:rPr>
      </w:pPr>
      <w:r w:rsidRPr="003A15B5">
        <w:rPr>
          <w:rFonts w:eastAsiaTheme="majorEastAsia"/>
          <w:lang w:val="vi-VN"/>
        </w:rPr>
        <w:t xml:space="preserve">NNL được đặc trưng bởi ngữ pháp và từ vựng được mở rộng và thay đổi đáng kể. Cấu trúc ngôn ngữ của một NNL phụ thuộc vào các biến thể đã tiếp xúc </w:t>
      </w:r>
      <w:r w:rsidRPr="003A15B5">
        <w:rPr>
          <w:rFonts w:eastAsiaTheme="majorEastAsia"/>
          <w:lang w:val="vi-VN"/>
        </w:rPr>
        <w:lastRenderedPageBreak/>
        <w:t>để hình thành nên nó. Trong trường hợp ngôn ngữ tiền NNL là một tiếng bồi được mở rộng, NNL mang nhiều đặc điểm giống như ngôn ngữ tiền thân của nó. Tuy nhiên, nếu ngôn ngữ tiền NNL là một biệt ngữ hoặc trong trường hợp của tiếp thu ngôn ngữ thứ hai được lặp lại, thì NNL có xu hướng  ít giống về cấu trúc hơn với các loại đầu vào. Thay vào đó, các NNL như vậy dường như phát triển dựa trên các nguyên tắc phổ quát hơn (có thể về ngôn ngữ, xã hội hoặc nhận thức) bằng chứng là những điểm tương đồng về cấu trúc nổi bật giữa các NNL phát triển từ tập hợp các loại đầu vào khá đa dạng.</w:t>
      </w:r>
    </w:p>
    <w:p w:rsidR="003A15B5" w:rsidRPr="00537AD5" w:rsidRDefault="003A15B5" w:rsidP="003A15B5">
      <w:pPr>
        <w:spacing w:before="120" w:after="120" w:line="360" w:lineRule="auto"/>
        <w:ind w:firstLine="567"/>
        <w:jc w:val="both"/>
        <w:rPr>
          <w:rFonts w:eastAsiaTheme="majorEastAsia"/>
        </w:rPr>
      </w:pPr>
      <w:r w:rsidRPr="00537AD5">
        <w:rPr>
          <w:rFonts w:eastAsiaTheme="majorEastAsia"/>
        </w:rPr>
        <w:t xml:space="preserve">Những điểm tương đồng đáng chú ý trong ngữ pháp ở các NNL trên khắp thế giới sẽ dẫn đến việc đề xuất giả thuyết về chương trình sinh học. Theo Bickerton (1984), những điểm tương đồng đáng chú ý trong ngữ pháp ở các NNL trên khắp thế giới có thể bắt nguồn từ khả năng ngôn ngữ bẩm sinh của con người áp đặt cấu trúc ngữ pháp dựa trên tiếng bồi tương đối chưa có cấu trúc. Như vậy, Bickerton quy những điểm tương đồng với các đặc tính bẩm sinh của tâm trí con người. Tuy nhiên, cần chú ý rằng nhiều người nghiên cứu NNL không chấp nhận giả thuyết về chương trình sinh học và đã đề xuất những cách giải thích khác để giải thích cho những điểm tương đồng, bao gồm bối cảnh xã hội phổ biến của quá trình hình thành ngôn ngữ lai, các chiến lược phổ quát của việc học ngôn ngữ, các chiến lược phổ quát để giản hóa ngôn ngữ trong tình huống tiếp xúc, và những tương đồng về cấu trúc trong số các ngôn ngữ tầng dưới và/ hoặc tầng trên từng có mặt trong lịch sử ở các tình huống tiếp xúc NNL này. Hầu hết các nhà nghiên cứu NNL ngày nay đề xuất rằng những điểm tương đồng trong các ngôn ngữ là đã xuất hiện như kết quả của một hình thức đặc biệt của việc tiếp </w:t>
      </w:r>
      <w:proofErr w:type="gramStart"/>
      <w:r w:rsidRPr="00537AD5">
        <w:rPr>
          <w:rFonts w:eastAsiaTheme="majorEastAsia"/>
        </w:rPr>
        <w:t>thu</w:t>
      </w:r>
      <w:proofErr w:type="gramEnd"/>
      <w:r w:rsidRPr="00537AD5">
        <w:rPr>
          <w:rFonts w:eastAsiaTheme="majorEastAsia"/>
        </w:rPr>
        <w:t xml:space="preserve"> ngôn ngữ thứ hai.</w:t>
      </w:r>
    </w:p>
    <w:p w:rsidR="003A15B5" w:rsidRPr="00537AD5" w:rsidRDefault="003A15B5" w:rsidP="003A15B5">
      <w:pPr>
        <w:spacing w:line="360" w:lineRule="auto"/>
        <w:jc w:val="right"/>
        <w:rPr>
          <w:rFonts w:eastAsiaTheme="majorEastAsia"/>
          <w:sz w:val="20"/>
          <w:szCs w:val="20"/>
        </w:rPr>
      </w:pPr>
      <w:r w:rsidRPr="00537AD5">
        <w:rPr>
          <w:rFonts w:eastAsiaTheme="majorEastAsia"/>
          <w:sz w:val="24"/>
          <w:szCs w:val="24"/>
        </w:rPr>
        <w:t xml:space="preserve">    </w:t>
      </w:r>
      <w:r w:rsidRPr="00537AD5">
        <w:rPr>
          <w:rFonts w:eastAsiaTheme="majorEastAsia"/>
          <w:b/>
          <w:sz w:val="20"/>
          <w:szCs w:val="20"/>
        </w:rPr>
        <w:t>NGUYỄN THIỆN GIÁP</w:t>
      </w:r>
      <w:r w:rsidRPr="00537AD5">
        <w:rPr>
          <w:rFonts w:eastAsiaTheme="majorEastAsia"/>
          <w:sz w:val="20"/>
          <w:szCs w:val="20"/>
        </w:rPr>
        <w:t xml:space="preserve">     </w:t>
      </w:r>
    </w:p>
    <w:p w:rsidR="003A15B5" w:rsidRPr="00537AD5" w:rsidRDefault="003A15B5" w:rsidP="003A15B5">
      <w:pPr>
        <w:spacing w:line="360" w:lineRule="auto"/>
        <w:contextualSpacing/>
        <w:mirrorIndents/>
        <w:jc w:val="both"/>
        <w:rPr>
          <w:rFonts w:eastAsiaTheme="majorEastAsia"/>
          <w:b/>
          <w:sz w:val="24"/>
          <w:szCs w:val="24"/>
        </w:rPr>
      </w:pPr>
      <w:r w:rsidRPr="00537AD5">
        <w:rPr>
          <w:rFonts w:eastAsiaTheme="majorEastAsia"/>
        </w:rPr>
        <w:t xml:space="preserve"> </w:t>
      </w:r>
      <w:r w:rsidRPr="00537AD5">
        <w:rPr>
          <w:rFonts w:eastAsiaTheme="majorEastAsia"/>
          <w:b/>
          <w:sz w:val="24"/>
          <w:szCs w:val="24"/>
        </w:rPr>
        <w:t>Tài liệu tham khảo</w:t>
      </w:r>
    </w:p>
    <w:p w:rsidR="003A15B5" w:rsidRPr="00537AD5" w:rsidRDefault="003A15B5" w:rsidP="003A15B5">
      <w:pPr>
        <w:pStyle w:val="ListParagraph"/>
        <w:spacing w:line="360" w:lineRule="auto"/>
        <w:ind w:left="0"/>
        <w:mirrorIndents/>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 xml:space="preserve">1. Nguyễn Thiện Giáp, </w:t>
      </w:r>
      <w:r w:rsidRPr="00537AD5">
        <w:rPr>
          <w:rFonts w:ascii="Times New Roman" w:eastAsiaTheme="majorEastAsia" w:hAnsi="Times New Roman" w:cs="Times New Roman"/>
          <w:i/>
          <w:sz w:val="24"/>
          <w:szCs w:val="24"/>
        </w:rPr>
        <w:t>Từ điển Ngôn ngữ học</w:t>
      </w:r>
      <w:r w:rsidRPr="00537AD5">
        <w:rPr>
          <w:rFonts w:ascii="Times New Roman" w:eastAsiaTheme="majorEastAsia" w:hAnsi="Times New Roman" w:cs="Times New Roman"/>
          <w:sz w:val="24"/>
          <w:szCs w:val="24"/>
        </w:rPr>
        <w:t>, Nxb. Đại học Quốc gia Hà Nội, Hà Nội, 2023.</w:t>
      </w:r>
    </w:p>
    <w:p w:rsidR="003A15B5" w:rsidRPr="00537AD5" w:rsidRDefault="003A15B5" w:rsidP="003A15B5">
      <w:pPr>
        <w:pStyle w:val="ListParagraph"/>
        <w:spacing w:line="360" w:lineRule="auto"/>
        <w:ind w:left="0"/>
        <w:mirrorIndents/>
        <w:jc w:val="both"/>
        <w:rPr>
          <w:rFonts w:ascii="Times New Roman" w:eastAsiaTheme="majorEastAsia" w:hAnsi="Times New Roman" w:cs="Times New Roman"/>
          <w:sz w:val="24"/>
          <w:szCs w:val="24"/>
        </w:rPr>
      </w:pPr>
      <w:r w:rsidRPr="00537AD5">
        <w:rPr>
          <w:rFonts w:ascii="Times New Roman" w:eastAsiaTheme="majorEastAsia" w:hAnsi="Times New Roman" w:cs="Times New Roman"/>
          <w:sz w:val="24"/>
          <w:szCs w:val="24"/>
        </w:rPr>
        <w:t>2. Andersen, R</w:t>
      </w:r>
      <w:proofErr w:type="gramStart"/>
      <w:r w:rsidRPr="00537AD5">
        <w:rPr>
          <w:rFonts w:ascii="Times New Roman" w:eastAsiaTheme="majorEastAsia" w:hAnsi="Times New Roman" w:cs="Times New Roman"/>
          <w:sz w:val="24"/>
          <w:szCs w:val="24"/>
        </w:rPr>
        <w:t>.(</w:t>
      </w:r>
      <w:proofErr w:type="gramEnd"/>
      <w:r w:rsidRPr="00537AD5">
        <w:rPr>
          <w:rFonts w:ascii="Times New Roman" w:eastAsiaTheme="majorEastAsia" w:hAnsi="Times New Roman" w:cs="Times New Roman"/>
          <w:sz w:val="24"/>
          <w:szCs w:val="24"/>
        </w:rPr>
        <w:t xml:space="preserve">ed.), </w:t>
      </w:r>
      <w:r w:rsidRPr="00537AD5">
        <w:rPr>
          <w:rFonts w:ascii="Times New Roman" w:eastAsiaTheme="majorEastAsia" w:hAnsi="Times New Roman" w:cs="Times New Roman"/>
          <w:i/>
          <w:sz w:val="24"/>
          <w:szCs w:val="24"/>
        </w:rPr>
        <w:t>Pidginization and creolization as language acquisition</w:t>
      </w:r>
      <w:r w:rsidRPr="00537AD5">
        <w:rPr>
          <w:rFonts w:ascii="Times New Roman" w:eastAsiaTheme="majorEastAsia" w:hAnsi="Times New Roman" w:cs="Times New Roman"/>
          <w:sz w:val="24"/>
          <w:szCs w:val="24"/>
        </w:rPr>
        <w:t xml:space="preserve">, Rowley, MA, 1983.3. Bickerton D., </w:t>
      </w:r>
      <w:r w:rsidRPr="00537AD5">
        <w:rPr>
          <w:rFonts w:ascii="Times New Roman" w:eastAsiaTheme="majorEastAsia" w:hAnsi="Times New Roman" w:cs="Times New Roman"/>
          <w:i/>
          <w:sz w:val="24"/>
          <w:szCs w:val="24"/>
        </w:rPr>
        <w:t>The language biprogram hypothesiss</w:t>
      </w:r>
      <w:r w:rsidRPr="00537AD5">
        <w:rPr>
          <w:rFonts w:ascii="Times New Roman" w:eastAsiaTheme="majorEastAsia" w:hAnsi="Times New Roman" w:cs="Times New Roman"/>
          <w:sz w:val="24"/>
          <w:szCs w:val="24"/>
        </w:rPr>
        <w:t xml:space="preserve">. Bihavioral and Brain Sciences </w:t>
      </w:r>
      <w:r w:rsidRPr="00537AD5">
        <w:rPr>
          <w:rFonts w:ascii="Times New Roman" w:eastAsiaTheme="majorEastAsia" w:hAnsi="Times New Roman" w:cs="Times New Roman"/>
          <w:sz w:val="24"/>
          <w:szCs w:val="24"/>
        </w:rPr>
        <w:lastRenderedPageBreak/>
        <w:t>7.173-221, 1984.4. Arends J., P. Muysken and N. Smith (</w:t>
      </w:r>
      <w:proofErr w:type="gramStart"/>
      <w:r w:rsidRPr="00537AD5">
        <w:rPr>
          <w:rFonts w:ascii="Times New Roman" w:eastAsiaTheme="majorEastAsia" w:hAnsi="Times New Roman" w:cs="Times New Roman"/>
          <w:sz w:val="24"/>
          <w:szCs w:val="24"/>
        </w:rPr>
        <w:t>eds</w:t>
      </w:r>
      <w:proofErr w:type="gramEnd"/>
      <w:r w:rsidRPr="00537AD5">
        <w:rPr>
          <w:rFonts w:ascii="Times New Roman" w:eastAsiaTheme="majorEastAsia" w:hAnsi="Times New Roman" w:cs="Times New Roman"/>
          <w:sz w:val="24"/>
          <w:szCs w:val="24"/>
        </w:rPr>
        <w:t xml:space="preserve">), </w:t>
      </w:r>
      <w:r w:rsidRPr="00537AD5">
        <w:rPr>
          <w:rFonts w:ascii="Times New Roman" w:eastAsiaTheme="majorEastAsia" w:hAnsi="Times New Roman" w:cs="Times New Roman"/>
          <w:i/>
          <w:sz w:val="24"/>
          <w:szCs w:val="24"/>
        </w:rPr>
        <w:t>Pidgins and creoles: an introduction</w:t>
      </w:r>
      <w:r w:rsidRPr="00537AD5">
        <w:rPr>
          <w:rFonts w:ascii="Times New Roman" w:eastAsiaTheme="majorEastAsia" w:hAnsi="Times New Roman" w:cs="Times New Roman"/>
          <w:sz w:val="24"/>
          <w:szCs w:val="24"/>
        </w:rPr>
        <w:t>, Amsterdam and Philadelphia, 1995.</w:t>
      </w:r>
    </w:p>
    <w:p w:rsidR="003A15B5" w:rsidRPr="00537AD5" w:rsidRDefault="003A15B5" w:rsidP="003A15B5">
      <w:pPr>
        <w:spacing w:line="360" w:lineRule="auto"/>
        <w:ind w:left="1440" w:hanging="720"/>
        <w:jc w:val="both"/>
        <w:rPr>
          <w:rFonts w:eastAsiaTheme="majorEastAsia"/>
          <w:b/>
        </w:rPr>
      </w:pPr>
    </w:p>
    <w:p w:rsidR="0074324B" w:rsidRDefault="003A15B5">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C9"/>
    <w:rsid w:val="003A15B5"/>
    <w:rsid w:val="005A6D57"/>
    <w:rsid w:val="007D3409"/>
    <w:rsid w:val="00A905C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4FC8A-9173-4158-9146-EC2B3F10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5B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15B5"/>
    <w:pPr>
      <w:spacing w:after="160" w:line="259" w:lineRule="auto"/>
      <w:ind w:left="720"/>
      <w:contextualSpacing/>
    </w:pPr>
    <w:rPr>
      <w:rFonts w:asciiTheme="minorHAnsi" w:eastAsiaTheme="minorEastAsia" w:hAnsiTheme="minorHAnsi" w:cstheme="minorBidi"/>
      <w:sz w:val="22"/>
      <w:szCs w:val="22"/>
      <w:lang w:eastAsia="zh-CN"/>
    </w:rPr>
  </w:style>
  <w:style w:type="character" w:customStyle="1" w:styleId="ListParagraphChar">
    <w:name w:val="List Paragraph Char"/>
    <w:link w:val="ListParagraph"/>
    <w:uiPriority w:val="34"/>
    <w:qFormat/>
    <w:locked/>
    <w:rsid w:val="003A15B5"/>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2025-12-15T07:46:00Z</dcterms:created>
  <dcterms:modified xsi:type="dcterms:W3CDTF">2025-12-15T07:46:00Z</dcterms:modified>
</cp:coreProperties>
</file>